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1066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16"/>
        </w:trPr>
        <w:tc>
          <w:tcPr>
            <w:tcW w:w="5373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>
        <w:trPr>
          <w:trHeight w:val="0"/>
        </w:trPr>
        <w:tc>
          <w:tcPr>
            <w:tcW w:w="2121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70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8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6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1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Уважаемый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Аркадий Петрович!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просит изменить назначение пожертвования в виде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размере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которое вы сделали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в целях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настоящее время использование пожертвования по указанному назначению невозможно в связи с тем, что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Согласно </w:t>
      </w:r>
      <w:r>
        <w:rPr>
          <w:rFonts w:hAnsi="Times New Roman" w:cs="Times New Roman"/>
          <w:color w:val="000000"/>
          <w:sz w:val="24"/>
          <w:szCs w:val="24"/>
        </w:rPr>
        <w:t>пункту 4 статьи 582 Гражданского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если законом не установлен иной порядок, в случаях, когда использование пожертвованного имущества в соответствии с указанным жертвователем назначением становится невозможным, оно может быть использовано по другому назначению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лишь с согласия жертвователя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Учитывая вышеизложенное, просим разрешить использовать пожертвование в размере 20 000 (двадцати тысяч) руб. 00 коп. по иному назначению, а именно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 прошу направить в письменной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          /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М.П.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bd08d99213f46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